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5BE175FB" w14:textId="77777777" w:rsidR="00D8565F" w:rsidRPr="00E81F4F" w:rsidRDefault="00D8565F" w:rsidP="00D8565F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7377FDF0" w14:textId="77777777" w:rsidR="00D8565F" w:rsidRPr="00E81F4F" w:rsidRDefault="00D8565F" w:rsidP="00D8565F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10 </w:t>
      </w:r>
      <w:r>
        <w:rPr>
          <w:rFonts w:eastAsia="Times New Roman" w:cstheme="minorHAnsi"/>
          <w:b/>
          <w:bCs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>Hot-dip galvanizing, factory-applied polyamide epoxy prime coat and 2nd generation aliphatic acrylic urethane topcoat for iron and steel fabrications.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538985AE" w14:textId="77777777" w:rsidR="00657A12" w:rsidRPr="0067067E" w:rsidRDefault="00657A12" w:rsidP="00657A12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4AB60D0C" w14:textId="77777777" w:rsidR="003D5A6C" w:rsidRPr="0067067E" w:rsidRDefault="003D5A6C" w:rsidP="003D5A6C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7D8AA3AD" w14:textId="0886F363" w:rsidR="003D5A6C" w:rsidRDefault="003D5A6C" w:rsidP="003D5A6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C33DD07" w14:textId="77777777" w:rsidR="003D5A6C" w:rsidRPr="00AD004E" w:rsidRDefault="003D5A6C" w:rsidP="003D5A6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253C0F9" w14:textId="77777777" w:rsidR="000D7BEC" w:rsidRPr="00E81F4F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2466F0B0" w:rsidR="00445B4F" w:rsidRPr="00657A12" w:rsidRDefault="00445B4F" w:rsidP="00C73318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57A12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657A12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F1E3AD2" w14:textId="77777777" w:rsidR="00445B4F" w:rsidRDefault="00445B4F" w:rsidP="00445B4F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4BF076D8" w14:textId="77777777" w:rsidR="00BF2180" w:rsidRDefault="00BF2180" w:rsidP="00BF2180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630C16AE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61CF05B9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5E1B755A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5E71F428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54B0830A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129FEEAD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1C9426BC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7A9EC380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37BEF119" w14:textId="77777777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33341FA1" w14:textId="2845238A" w:rsidR="00BF2180" w:rsidRDefault="00BF2180" w:rsidP="00BF2180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7F713CDF" w14:textId="77777777" w:rsidR="00BF2180" w:rsidRDefault="00BF2180" w:rsidP="00BF2180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23D4E6A5" w14:textId="18C5488D" w:rsidR="00A1749E" w:rsidRDefault="00A1749E" w:rsidP="00A1749E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39A0FB1E" w14:textId="77777777" w:rsidR="00A1749E" w:rsidRPr="004415D3" w:rsidRDefault="00A1749E" w:rsidP="00A1749E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6FCE8A0F" w14:textId="36392BC0" w:rsidR="00A1749E" w:rsidRDefault="00A1749E" w:rsidP="00A1749E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5239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 </w:t>
      </w:r>
    </w:p>
    <w:p w14:paraId="4A503E97" w14:textId="77777777" w:rsidR="00BF2180" w:rsidRPr="00DB5239" w:rsidRDefault="00BF2180" w:rsidP="00BF218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1934B52" w14:textId="77777777" w:rsidR="00A1749E" w:rsidRPr="004415D3" w:rsidRDefault="00A1749E" w:rsidP="00A1749E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6ABD7BF4" w14:textId="77777777" w:rsidR="00A1749E" w:rsidRPr="004415D3" w:rsidRDefault="00A1749E" w:rsidP="00A1749E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02492074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4A6EA954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1262D549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749D0CDC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48034EBB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41F02AAF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35A251BE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2F26BB85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7BF49A74" w14:textId="77777777" w:rsidR="00A1749E" w:rsidRPr="004415D3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71D65CBB" w14:textId="06EDAF25" w:rsidR="00A1749E" w:rsidRDefault="00A1749E" w:rsidP="00A1749E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6764D6B6" w14:textId="77777777" w:rsidR="00A05F0B" w:rsidRDefault="00A05F0B" w:rsidP="00A05F0B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0A331B1" w14:textId="4B692385" w:rsidR="0045264E" w:rsidRPr="006F064B" w:rsidRDefault="0045264E" w:rsidP="006510BC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50024428"/>
      <w:r w:rsidRPr="006F064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Topcoat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: Provide factory-applied high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performance 2</w:t>
      </w:r>
      <w:r w:rsidRPr="006F064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generation aliphatic acrylic urethane coating in specified color and gloss range matching approved samples.</w:t>
      </w:r>
    </w:p>
    <w:p w14:paraId="3FB64EB5" w14:textId="26B2A1ED" w:rsidR="0045264E" w:rsidRDefault="0045264E" w:rsidP="00640F20">
      <w:pPr>
        <w:pStyle w:val="NormalWeb"/>
        <w:numPr>
          <w:ilvl w:val="1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8C24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Colorgalv® 10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02D1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B54E4">
        <w:rPr>
          <w:rFonts w:ascii="Calibri" w:hAnsi="Calibri" w:cs="Calibri"/>
          <w:color w:val="000000"/>
          <w:sz w:val="22"/>
          <w:szCs w:val="22"/>
        </w:rPr>
        <w:t>Topcoat shall be certified OTC/VOC compliant and conform to EPA and local requirements.</w:t>
      </w:r>
    </w:p>
    <w:p w14:paraId="4FF655E3" w14:textId="77777777" w:rsidR="0045264E" w:rsidRPr="006F064B" w:rsidRDefault="0045264E" w:rsidP="00640F20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opcoat shall be applied </w:t>
      </w:r>
      <w:r>
        <w:rPr>
          <w:rFonts w:asciiTheme="minorHAnsi" w:hAnsiTheme="minorHAnsi" w:cstheme="minorHAnsi"/>
          <w:color w:val="000000"/>
          <w:sz w:val="22"/>
          <w:szCs w:val="22"/>
        </w:rPr>
        <w:t>over the primer at the galvanizer’s facility.  Topcoat shall be applied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in a controlled environment meeting applicable conditions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recoat times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as re</w:t>
      </w:r>
      <w:r>
        <w:rPr>
          <w:rFonts w:asciiTheme="minorHAnsi" w:hAnsiTheme="minorHAnsi" w:cstheme="minorHAnsi"/>
          <w:color w:val="000000"/>
          <w:sz w:val="22"/>
          <w:szCs w:val="22"/>
        </w:rPr>
        <w:t>quired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by the coating manufacturer.</w:t>
      </w:r>
    </w:p>
    <w:p w14:paraId="3849C107" w14:textId="77777777" w:rsidR="0045264E" w:rsidRPr="006F064B" w:rsidRDefault="0045264E" w:rsidP="00640F20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Topcoat will be applied at 2-3 mils DFT and must meet or exceed the criteria for the following categories as stipulated by the coating</w:t>
      </w:r>
      <w:r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s manufacturer:</w:t>
      </w:r>
    </w:p>
    <w:p w14:paraId="007F020A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Abrasion Resistance: ASTM D 4060, CS17 Wheel, 1,000 cycles 1kg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load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154 mg loss.</w:t>
      </w:r>
    </w:p>
    <w:p w14:paraId="237DDA9A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Adhesion: ASTM D 4541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766 psi.</w:t>
      </w:r>
    </w:p>
    <w:p w14:paraId="2E381CCA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Direct Impact Resistance: ASTM D 2794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176 in. pounds.</w:t>
      </w:r>
    </w:p>
    <w:p w14:paraId="39B5445E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Dry Heat Resistance: ASTM D 2485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250 degrees 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(121 C)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0C9735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Salt Fog Resistance: ASTM B 117 9,000 hours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Rating 10 per ASTM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D714 for blistering, Rating 10 per ASTM D 610 for Rusting.</w:t>
      </w:r>
    </w:p>
    <w:p w14:paraId="5011D8AB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Flexibility: ASTM D 522, 180 degrees bend, 1/8-inch mandrel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Passes.</w:t>
      </w:r>
    </w:p>
    <w:p w14:paraId="57B2013F" w14:textId="77777777" w:rsidR="0045264E" w:rsidRPr="005040F5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040F5">
        <w:rPr>
          <w:rFonts w:asciiTheme="minorHAnsi" w:hAnsiTheme="minorHAnsi" w:cstheme="minorHAnsi"/>
          <w:sz w:val="22"/>
          <w:szCs w:val="22"/>
        </w:rPr>
        <w:t>Pencil Hardness: ASTM D 3363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5040F5">
        <w:rPr>
          <w:rFonts w:asciiTheme="minorHAnsi" w:hAnsiTheme="minorHAnsi" w:cstheme="minorHAnsi"/>
          <w:sz w:val="22"/>
          <w:szCs w:val="22"/>
        </w:rPr>
        <w:t xml:space="preserve"> HB.</w:t>
      </w:r>
    </w:p>
    <w:p w14:paraId="62E6A1A8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Moisture Condensation Resistance: ASTM D 4585, 100 degrees 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38 C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, 4000 hours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No rusting, blistering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or delaminating.</w:t>
      </w:r>
    </w:p>
    <w:p w14:paraId="44D486B8" w14:textId="77777777" w:rsidR="0045264E" w:rsidRPr="006F064B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>Corrosion Weathering: ASTM D 5894, 33 Cycles, 12,531 Hours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Rating 10 Per ASTM D 714 for blistering. Rating 10 Per ASTM D 610 for Rusting.</w:t>
      </w:r>
    </w:p>
    <w:p w14:paraId="28410EC5" w14:textId="77777777" w:rsidR="0045264E" w:rsidRPr="003547F0" w:rsidRDefault="0045264E" w:rsidP="00640F20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Thermal Cycling: ASTM D </w:t>
      </w:r>
      <w:r>
        <w:rPr>
          <w:rFonts w:asciiTheme="minorHAnsi" w:hAnsiTheme="minorHAnsi" w:cstheme="minorHAnsi"/>
          <w:color w:val="000000"/>
          <w:sz w:val="22"/>
          <w:szCs w:val="22"/>
        </w:rPr>
        <w:t>2246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, 10 cycles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Excellent.</w:t>
      </w:r>
      <w:bookmarkEnd w:id="0"/>
    </w:p>
    <w:p w14:paraId="75B2FCE5" w14:textId="77777777" w:rsidR="0032519A" w:rsidRPr="00A15716" w:rsidRDefault="0032519A" w:rsidP="008F6C40">
      <w:pPr>
        <w:pStyle w:val="NormalWeb"/>
        <w:spacing w:before="0" w:beforeAutospacing="0" w:after="0" w:afterAutospacing="0"/>
        <w:ind w:left="180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4FFE026" w14:textId="3133C010" w:rsidR="00F21B1B" w:rsidRDefault="00F21B1B" w:rsidP="00F21B1B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50E3A896" w14:textId="48C76F83" w:rsidR="00085808" w:rsidRDefault="00F21B1B" w:rsidP="00085808">
      <w:pPr>
        <w:pStyle w:val="NormalWeb"/>
        <w:numPr>
          <w:ilvl w:val="1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10FD0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19BB24C5" w14:textId="77777777" w:rsidR="00D81FF1" w:rsidRDefault="00F21B1B" w:rsidP="00D81FF1">
      <w:pPr>
        <w:pStyle w:val="NormalWeb"/>
        <w:numPr>
          <w:ilvl w:val="1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0BA4">
        <w:rPr>
          <w:rFonts w:ascii="Calibri" w:hAnsi="Calibri" w:cs="Calibri"/>
          <w:color w:val="000000"/>
          <w:sz w:val="22"/>
          <w:szCs w:val="22"/>
        </w:rPr>
        <w:t>Gloss and color warranty shall be 10 years in accordance with the following performance specifications</w:t>
      </w:r>
      <w:r w:rsidR="00F65D35" w:rsidRPr="007F0BA4">
        <w:rPr>
          <w:rFonts w:ascii="Calibri" w:hAnsi="Calibri" w:cs="Calibri"/>
          <w:color w:val="000000"/>
          <w:sz w:val="22"/>
          <w:szCs w:val="22"/>
        </w:rPr>
        <w:t>:</w:t>
      </w:r>
    </w:p>
    <w:p w14:paraId="1687FB76" w14:textId="77777777" w:rsidR="00D81FF1" w:rsidRDefault="00F21B1B" w:rsidP="00D81FF1">
      <w:pPr>
        <w:pStyle w:val="NormalWeb"/>
        <w:numPr>
          <w:ilvl w:val="2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81FF1">
        <w:rPr>
          <w:rFonts w:ascii="Calibri" w:hAnsi="Calibri" w:cs="Calibri"/>
          <w:color w:val="000000"/>
          <w:sz w:val="22"/>
          <w:szCs w:val="22"/>
        </w:rPr>
        <w:t>Fade: Defined as a loss of gloss not to exceed 35 units of gloss, which shall be measured in accordance with ASTM D 523-89 with 60 degrees geometry.</w:t>
      </w:r>
    </w:p>
    <w:p w14:paraId="26FA7B5B" w14:textId="79C68BB8" w:rsidR="00F21B1B" w:rsidRDefault="00F21B1B" w:rsidP="00D81FF1">
      <w:pPr>
        <w:pStyle w:val="NormalWeb"/>
        <w:numPr>
          <w:ilvl w:val="2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81FF1">
        <w:rPr>
          <w:rFonts w:ascii="Calibri" w:hAnsi="Calibri" w:cs="Calibri"/>
          <w:color w:val="000000"/>
          <w:sz w:val="22"/>
          <w:szCs w:val="22"/>
        </w:rPr>
        <w:t>Color shift: Not to exceed 15 DE CIE LAB units for whites and light colors. Dark colors not to exceed 25 DE CIE LAB units measured by ASTM D 2244 (yellows, oranges, and reds are excluded).</w:t>
      </w:r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002E0023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5C7E76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6324A31C" w14:textId="77777777" w:rsidR="00E32E72" w:rsidRDefault="00E32E72" w:rsidP="00E32E72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0F925572" w14:textId="77777777" w:rsidR="00E32E72" w:rsidRDefault="00E32E72" w:rsidP="00E32E72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7BE4BBF2" w14:textId="2779912D" w:rsidR="00E32E72" w:rsidRDefault="00E32E72" w:rsidP="00E32E72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twice per month to determine compliance with ASTM standards. </w:t>
      </w:r>
      <w:r w:rsidR="00195B65">
        <w:rPr>
          <w:rFonts w:asciiTheme="minorHAnsi" w:hAnsiTheme="minorHAnsi" w:cs="Arial"/>
          <w:color w:val="000000"/>
          <w:sz w:val="22"/>
          <w:szCs w:val="22"/>
        </w:rPr>
        <w:t xml:space="preserve">Zinc </w:t>
      </w:r>
      <w:r>
        <w:rPr>
          <w:rFonts w:asciiTheme="minorHAnsi" w:hAnsiTheme="minorHAnsi" w:cs="Arial"/>
          <w:color w:val="000000"/>
          <w:sz w:val="22"/>
          <w:szCs w:val="22"/>
        </w:rPr>
        <w:t>testing shall be done using x-ray fluorescence (XRF) equipment at a lab in the galvanizing facility and verified by an independent lab quarterly.</w:t>
      </w: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310876BA" w14:textId="16EE8234" w:rsidR="007A19B1" w:rsidRDefault="007A19B1" w:rsidP="007A19B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419ED2D2" w14:textId="122599A7" w:rsidR="00CC1418" w:rsidRPr="00B648F6" w:rsidRDefault="00CC1418" w:rsidP="00B648F6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B648F6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B648F6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 connections, and abraded areas the following procedures must be used. </w:t>
      </w:r>
    </w:p>
    <w:p w14:paraId="050AA9C5" w14:textId="04D3D51A" w:rsidR="00CC1418" w:rsidRDefault="00CC1418" w:rsidP="00494274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59D7FDD7" w14:textId="4BFAE94B" w:rsidR="00B648F6" w:rsidRPr="00657A12" w:rsidRDefault="00CC1418" w:rsidP="00BB3A50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57A12">
        <w:rPr>
          <w:rFonts w:asciiTheme="minorHAnsi" w:hAnsiTheme="minorHAnsi" w:cs="Arial"/>
          <w:color w:val="000000"/>
          <w:sz w:val="22"/>
          <w:szCs w:val="22"/>
        </w:rPr>
        <w:t>Where NEPCOAT systems are specified, the repair paint shall be an organic Zinc Rich paint listed on NEPCOAT System B.</w:t>
      </w:r>
    </w:p>
    <w:p w14:paraId="281BC7E3" w14:textId="2AEA6F5D" w:rsidR="00CC1418" w:rsidRDefault="00CC1418" w:rsidP="00C76AB2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240E3351" w14:textId="77777777" w:rsidR="00CE2053" w:rsidRDefault="00CE2053" w:rsidP="00507614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9B44011C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0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D0045"/>
    <w:multiLevelType w:val="multilevel"/>
    <w:tmpl w:val="78163E6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upperLetter"/>
        <w:lvlText w:val="%1."/>
        <w:lvlJc w:val="left"/>
      </w:lvl>
    </w:lvlOverride>
  </w:num>
  <w:num w:numId="2">
    <w:abstractNumId w:val="31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4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8"/>
  </w:num>
  <w:num w:numId="9">
    <w:abstractNumId w:val="25"/>
    <w:lvlOverride w:ilvl="0">
      <w:lvl w:ilvl="0">
        <w:numFmt w:val="upperLetter"/>
        <w:lvlText w:val="%1."/>
        <w:lvlJc w:val="left"/>
      </w:lvl>
    </w:lvlOverride>
  </w:num>
  <w:num w:numId="10">
    <w:abstractNumId w:val="21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0"/>
    <w:lvlOverride w:ilvl="0">
      <w:lvl w:ilvl="0">
        <w:numFmt w:val="upperLetter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upperLetter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26"/>
    <w:lvlOverride w:ilvl="0">
      <w:lvl w:ilvl="0">
        <w:numFmt w:val="upperLetter"/>
        <w:lvlText w:val="%1."/>
        <w:lvlJc w:val="left"/>
      </w:lvl>
    </w:lvlOverride>
  </w:num>
  <w:num w:numId="32">
    <w:abstractNumId w:val="29"/>
  </w:num>
  <w:num w:numId="33">
    <w:abstractNumId w:val="14"/>
  </w:num>
  <w:num w:numId="34">
    <w:abstractNumId w:val="15"/>
  </w:num>
  <w:num w:numId="35">
    <w:abstractNumId w:val="5"/>
  </w:num>
  <w:num w:numId="36">
    <w:abstractNumId w:val="27"/>
  </w:num>
  <w:num w:numId="37">
    <w:abstractNumId w:val="33"/>
  </w:num>
  <w:num w:numId="38">
    <w:abstractNumId w:val="16"/>
  </w:num>
  <w:num w:numId="39">
    <w:abstractNumId w:val="0"/>
  </w:num>
  <w:num w:numId="40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19"/>
  </w:num>
  <w:num w:numId="42">
    <w:abstractNumId w:val="35"/>
  </w:num>
  <w:num w:numId="43">
    <w:abstractNumId w:val="33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15367"/>
    <w:rsid w:val="00032CD2"/>
    <w:rsid w:val="00085808"/>
    <w:rsid w:val="000D7BEC"/>
    <w:rsid w:val="001033B2"/>
    <w:rsid w:val="00155E51"/>
    <w:rsid w:val="00195B65"/>
    <w:rsid w:val="00245DCB"/>
    <w:rsid w:val="002A6E01"/>
    <w:rsid w:val="002D527B"/>
    <w:rsid w:val="00321D53"/>
    <w:rsid w:val="0032519A"/>
    <w:rsid w:val="00372DEE"/>
    <w:rsid w:val="003D4D86"/>
    <w:rsid w:val="003D5A6C"/>
    <w:rsid w:val="004177E9"/>
    <w:rsid w:val="00442468"/>
    <w:rsid w:val="00445B4F"/>
    <w:rsid w:val="0045264E"/>
    <w:rsid w:val="00494274"/>
    <w:rsid w:val="00507614"/>
    <w:rsid w:val="00532574"/>
    <w:rsid w:val="005329C2"/>
    <w:rsid w:val="00587266"/>
    <w:rsid w:val="00592588"/>
    <w:rsid w:val="005B72E8"/>
    <w:rsid w:val="005C7E76"/>
    <w:rsid w:val="005D667E"/>
    <w:rsid w:val="00640F20"/>
    <w:rsid w:val="006510BC"/>
    <w:rsid w:val="00657A12"/>
    <w:rsid w:val="00693460"/>
    <w:rsid w:val="00771866"/>
    <w:rsid w:val="007A19B1"/>
    <w:rsid w:val="007A2DDC"/>
    <w:rsid w:val="007B058B"/>
    <w:rsid w:val="007D5AAE"/>
    <w:rsid w:val="007F0BA4"/>
    <w:rsid w:val="008058BE"/>
    <w:rsid w:val="00806A82"/>
    <w:rsid w:val="00857B0B"/>
    <w:rsid w:val="008865C1"/>
    <w:rsid w:val="008F6C40"/>
    <w:rsid w:val="00926C74"/>
    <w:rsid w:val="009802DE"/>
    <w:rsid w:val="009B075E"/>
    <w:rsid w:val="009B4ACB"/>
    <w:rsid w:val="00A05F0B"/>
    <w:rsid w:val="00A15716"/>
    <w:rsid w:val="00A1667A"/>
    <w:rsid w:val="00A1749E"/>
    <w:rsid w:val="00A61488"/>
    <w:rsid w:val="00A8301C"/>
    <w:rsid w:val="00A91295"/>
    <w:rsid w:val="00B038BD"/>
    <w:rsid w:val="00B47589"/>
    <w:rsid w:val="00B636E4"/>
    <w:rsid w:val="00B648F6"/>
    <w:rsid w:val="00B97F34"/>
    <w:rsid w:val="00BE70DB"/>
    <w:rsid w:val="00BF2180"/>
    <w:rsid w:val="00C33DC2"/>
    <w:rsid w:val="00C72C22"/>
    <w:rsid w:val="00C76AB2"/>
    <w:rsid w:val="00CC1418"/>
    <w:rsid w:val="00CE2053"/>
    <w:rsid w:val="00D51D14"/>
    <w:rsid w:val="00D81FF1"/>
    <w:rsid w:val="00D8565F"/>
    <w:rsid w:val="00DA136B"/>
    <w:rsid w:val="00DB2D68"/>
    <w:rsid w:val="00E2777C"/>
    <w:rsid w:val="00E32E72"/>
    <w:rsid w:val="00E81F4F"/>
    <w:rsid w:val="00E97D2E"/>
    <w:rsid w:val="00EB49A2"/>
    <w:rsid w:val="00F02CF9"/>
    <w:rsid w:val="00F21B1B"/>
    <w:rsid w:val="00F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17</cp:revision>
  <dcterms:created xsi:type="dcterms:W3CDTF">2022-03-15T18:44:00Z</dcterms:created>
  <dcterms:modified xsi:type="dcterms:W3CDTF">2022-03-17T16:29:00Z</dcterms:modified>
</cp:coreProperties>
</file>